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BE1" w:rsidRDefault="00FB64AA" w:rsidP="00102BE1">
      <w:pPr>
        <w:pStyle w:val="aff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Информация </w:t>
      </w:r>
    </w:p>
    <w:p w:rsidR="00102BE1" w:rsidRDefault="00102BE1" w:rsidP="00102BE1">
      <w:pPr>
        <w:pStyle w:val="aff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BE1">
        <w:rPr>
          <w:rFonts w:ascii="Times New Roman" w:hAnsi="Times New Roman"/>
          <w:b/>
          <w:bCs/>
          <w:sz w:val="28"/>
          <w:szCs w:val="28"/>
        </w:rPr>
        <w:t xml:space="preserve">Департамента образования и науки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102BE1">
        <w:rPr>
          <w:rFonts w:ascii="Times New Roman" w:hAnsi="Times New Roman"/>
          <w:b/>
          <w:bCs/>
          <w:sz w:val="28"/>
          <w:szCs w:val="28"/>
        </w:rPr>
        <w:t>Ханты-Мансийского автономного округа – Югры</w:t>
      </w:r>
    </w:p>
    <w:p w:rsidR="00102BE1" w:rsidRDefault="00102BE1" w:rsidP="00102BE1">
      <w:pPr>
        <w:pStyle w:val="aff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7A39" w:rsidRDefault="00102BE1" w:rsidP="00102BE1">
      <w:pPr>
        <w:pStyle w:val="aff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заседанию </w:t>
      </w:r>
      <w:r w:rsidR="00FB64AA">
        <w:rPr>
          <w:rFonts w:ascii="Times New Roman" w:hAnsi="Times New Roman"/>
          <w:b/>
          <w:bCs/>
          <w:sz w:val="28"/>
          <w:szCs w:val="28"/>
        </w:rPr>
        <w:t>круглого стола</w:t>
      </w:r>
      <w:r w:rsidR="002E6724">
        <w:rPr>
          <w:rFonts w:ascii="Times New Roman" w:hAnsi="Times New Roman"/>
          <w:b/>
          <w:bCs/>
          <w:sz w:val="28"/>
          <w:szCs w:val="28"/>
        </w:rPr>
        <w:t xml:space="preserve"> на тему: «О духовно-нравственном воспитании в Ханты-Мансийском автономном округе – Югре </w:t>
      </w:r>
      <w:r w:rsidR="002E6724">
        <w:rPr>
          <w:rFonts w:ascii="Times New Roman" w:hAnsi="Times New Roman"/>
          <w:b/>
          <w:bCs/>
          <w:sz w:val="28"/>
          <w:szCs w:val="28"/>
        </w:rPr>
        <w:br/>
        <w:t xml:space="preserve">и реализации Указа Президента Российской Федерации </w:t>
      </w:r>
      <w:r w:rsidR="00FA68FE">
        <w:rPr>
          <w:rFonts w:ascii="Times New Roman" w:hAnsi="Times New Roman"/>
          <w:b/>
          <w:bCs/>
          <w:sz w:val="28"/>
          <w:szCs w:val="28"/>
        </w:rPr>
        <w:br/>
      </w:r>
      <w:r w:rsidR="002E6724">
        <w:rPr>
          <w:rFonts w:ascii="Times New Roman" w:hAnsi="Times New Roman"/>
          <w:b/>
          <w:bCs/>
          <w:sz w:val="28"/>
          <w:szCs w:val="28"/>
        </w:rPr>
        <w:t xml:space="preserve">от 9 ноября 2022 года № 809 «Об утверждении Основ государственной политики </w:t>
      </w:r>
      <w:bookmarkStart w:id="0" w:name="_GoBack"/>
      <w:bookmarkEnd w:id="0"/>
      <w:r w:rsidR="002E6724">
        <w:rPr>
          <w:rFonts w:ascii="Times New Roman" w:hAnsi="Times New Roman"/>
          <w:b/>
          <w:bCs/>
          <w:sz w:val="28"/>
          <w:szCs w:val="28"/>
        </w:rPr>
        <w:t xml:space="preserve">по сохранению и укреплению традиционных российских </w:t>
      </w:r>
      <w:r w:rsidR="002E6724">
        <w:rPr>
          <w:rFonts w:ascii="Times New Roman" w:hAnsi="Times New Roman"/>
          <w:b/>
          <w:bCs/>
          <w:sz w:val="28"/>
          <w:szCs w:val="28"/>
        </w:rPr>
        <w:br/>
        <w:t>духовно-нравственных ценностей»</w:t>
      </w:r>
    </w:p>
    <w:p w:rsidR="00B57DA7" w:rsidRDefault="00B57DA7" w:rsidP="00B57DA7">
      <w:pPr>
        <w:pStyle w:val="aff7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F67A39" w:rsidRDefault="002E6724" w:rsidP="00780658">
      <w:pPr>
        <w:pStyle w:val="13"/>
        <w:spacing w:line="276" w:lineRule="auto"/>
        <w:ind w:firstLine="708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рамках реализации календарного Плана воспитательной работы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в 2025-2026 учебном году на постоянной основе обучающиеся образовательных организаций Ханты-Мансийского автономного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округа – Югры (далее </w:t>
      </w:r>
      <w:r w:rsidRPr="0054028D">
        <w:rPr>
          <w:rFonts w:ascii="Times New Roman" w:eastAsia="Times New Roman" w:hAnsi="Times New Roman"/>
          <w:sz w:val="28"/>
          <w:szCs w:val="28"/>
        </w:rPr>
        <w:t xml:space="preserve">– автономный округ) принимают участие </w:t>
      </w:r>
      <w:r w:rsidRPr="0054028D">
        <w:rPr>
          <w:rFonts w:ascii="Times New Roman" w:eastAsia="Times New Roman" w:hAnsi="Times New Roman"/>
          <w:sz w:val="28"/>
          <w:szCs w:val="28"/>
        </w:rPr>
        <w:br/>
        <w:t>во всероссийских, региональных</w:t>
      </w:r>
      <w:r w:rsidR="0054028D" w:rsidRPr="0054028D">
        <w:rPr>
          <w:rFonts w:ascii="Times New Roman" w:eastAsia="Times New Roman" w:hAnsi="Times New Roman"/>
          <w:sz w:val="28"/>
          <w:szCs w:val="28"/>
        </w:rPr>
        <w:t>,</w:t>
      </w:r>
      <w:r w:rsidRPr="0054028D">
        <w:rPr>
          <w:rFonts w:ascii="Times New Roman" w:eastAsia="Times New Roman" w:hAnsi="Times New Roman"/>
          <w:sz w:val="28"/>
          <w:szCs w:val="28"/>
        </w:rPr>
        <w:t xml:space="preserve"> городских мероприятиях, направленных на гражданско-патриотическое, духовно-нравственное воспитание, в том числе посвященны</w:t>
      </w:r>
      <w:r w:rsidR="0054028D" w:rsidRPr="0054028D">
        <w:rPr>
          <w:rFonts w:ascii="Times New Roman" w:eastAsia="Times New Roman" w:hAnsi="Times New Roman"/>
          <w:sz w:val="28"/>
          <w:szCs w:val="28"/>
        </w:rPr>
        <w:t>х</w:t>
      </w:r>
      <w:r w:rsidRPr="0054028D">
        <w:rPr>
          <w:rFonts w:ascii="Times New Roman" w:eastAsia="Times New Roman" w:hAnsi="Times New Roman"/>
          <w:sz w:val="28"/>
          <w:szCs w:val="28"/>
        </w:rPr>
        <w:t xml:space="preserve"> Дням воинской </w:t>
      </w:r>
      <w:r>
        <w:rPr>
          <w:rFonts w:ascii="Times New Roman" w:eastAsia="Times New Roman" w:hAnsi="Times New Roman"/>
          <w:sz w:val="28"/>
          <w:szCs w:val="28"/>
        </w:rPr>
        <w:t>славы и памятным датам.</w:t>
      </w:r>
    </w:p>
    <w:p w:rsidR="00F67A39" w:rsidRDefault="002E6724" w:rsidP="00780658">
      <w:pPr>
        <w:pStyle w:val="1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2025-2026 учебном году в образовательных организациях автономного округа в рамках военно-патриотического </w:t>
      </w:r>
      <w:r>
        <w:rPr>
          <w:rFonts w:ascii="Times New Roman" w:hAnsi="Times New Roman"/>
          <w:sz w:val="28"/>
          <w:szCs w:val="28"/>
        </w:rPr>
        <w:br/>
        <w:t>и духовно-нравственного воспитания проведено более 40 000 мероприятий.</w:t>
      </w:r>
    </w:p>
    <w:p w:rsidR="00F67A39" w:rsidRDefault="002E6724" w:rsidP="00780658">
      <w:pPr>
        <w:pStyle w:val="1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планах по воспитательной работе в образовательных организациях автономного округа реализуются военно-спортивная игра «Зарница 2.0», м</w:t>
      </w:r>
      <w:r>
        <w:rPr>
          <w:rFonts w:ascii="Times New Roman" w:hAnsi="Times New Roman"/>
          <w:sz w:val="28"/>
          <w:szCs w:val="28"/>
          <w:shd w:val="clear" w:color="auto" w:fill="FFFFFF"/>
        </w:rPr>
        <w:t>арафон памяти о героях Великой Отечественной войны,</w:t>
      </w:r>
      <w:r>
        <w:rPr>
          <w:rFonts w:ascii="Times New Roman" w:hAnsi="Times New Roman"/>
          <w:sz w:val="28"/>
          <w:szCs w:val="28"/>
        </w:rPr>
        <w:t xml:space="preserve"> акции, </w:t>
      </w:r>
      <w:proofErr w:type="spellStart"/>
      <w:r>
        <w:rPr>
          <w:rFonts w:ascii="Times New Roman" w:hAnsi="Times New Roman"/>
          <w:sz w:val="28"/>
          <w:szCs w:val="28"/>
        </w:rPr>
        <w:t>конкурсно</w:t>
      </w:r>
      <w:proofErr w:type="spellEnd"/>
      <w:r>
        <w:rPr>
          <w:rFonts w:ascii="Times New Roman" w:hAnsi="Times New Roman"/>
          <w:sz w:val="28"/>
          <w:szCs w:val="28"/>
        </w:rPr>
        <w:t>-игровые программы, спортивные соревнования, выставки рисунков, виртуальные экскурсии, а также мероприятия, посвященные событиям Великой Отечественной войны.</w:t>
      </w:r>
    </w:p>
    <w:p w:rsidR="00F67A39" w:rsidRDefault="002E6724" w:rsidP="00780658">
      <w:pPr>
        <w:pStyle w:val="1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охранения исторической памяти, противодействия попыткам фальсификации истории, сбережения исторического опыта, формирования традиционных ценностей 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100% образовательных организациях оформлены выставочные уголки памяти, посвященные выпускникам, погибшим в ходе проведения специальной военной операции.</w:t>
      </w:r>
    </w:p>
    <w:p w:rsidR="00F67A39" w:rsidRDefault="002E6724" w:rsidP="00780658">
      <w:pPr>
        <w:pStyle w:val="1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автономного округа реализуются Всероссийские проекты «Парта Героев», «Лица героев». В 280 образовательных организациях автономного округа созданы и функционируют краеведческие, исторические, художественные, этнографические музеи. 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образовательных организациях советниками директоров </w:t>
      </w:r>
      <w:r>
        <w:rPr>
          <w:sz w:val="28"/>
          <w:szCs w:val="28"/>
        </w:rPr>
        <w:br/>
        <w:t>по воспитанию ведется работа по вовлечению детей в деятельность детских общественных объединений.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каждом муниципальном образовании автономного округа </w:t>
      </w:r>
      <w:r>
        <w:rPr>
          <w:sz w:val="28"/>
          <w:szCs w:val="28"/>
        </w:rPr>
        <w:br/>
        <w:t xml:space="preserve">открыты и функционируют местные отделения </w:t>
      </w:r>
      <w:r>
        <w:rPr>
          <w:sz w:val="28"/>
          <w:szCs w:val="28"/>
          <w:highlight w:val="white"/>
        </w:rPr>
        <w:t xml:space="preserve">Общероссийского </w:t>
      </w:r>
      <w:r>
        <w:rPr>
          <w:sz w:val="28"/>
          <w:szCs w:val="28"/>
          <w:highlight w:val="white"/>
        </w:rPr>
        <w:br/>
        <w:t xml:space="preserve">общественно-государственного движения детей и молодежи «Движение </w:t>
      </w:r>
      <w:r>
        <w:rPr>
          <w:sz w:val="28"/>
          <w:szCs w:val="28"/>
          <w:highlight w:val="white"/>
        </w:rPr>
        <w:lastRenderedPageBreak/>
        <w:t>первых» (далее – Движение первых)</w:t>
      </w:r>
      <w:r>
        <w:rPr>
          <w:sz w:val="28"/>
          <w:szCs w:val="28"/>
        </w:rPr>
        <w:t xml:space="preserve">. 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tabs>
          <w:tab w:val="left" w:pos="750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Образовательные организации и Движение первых связаны одним общим делом – воспитанием подрастающего поколения. 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Целевые ориентиры Движения первых – духовно-нравственное, патриотическое, гражданское, экологическое, физическое воспитание, формирование культуры и здоровья, приобщение к культурному наследию, трудовое воспитание и профессиональное самоопределение.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автономного округа по состоянию на 1 марта </w:t>
      </w:r>
      <w:r>
        <w:rPr>
          <w:sz w:val="28"/>
          <w:szCs w:val="28"/>
        </w:rPr>
        <w:br/>
        <w:t xml:space="preserve">2026 года всего открыто 625 первичных отделений Движения первых, </w:t>
      </w:r>
      <w:r>
        <w:rPr>
          <w:sz w:val="28"/>
          <w:szCs w:val="28"/>
        </w:rPr>
        <w:br/>
        <w:t>из них 524 отделения в образовательных организациях (общеобразовательные, профессиональные и организации дошкольного, дополнительного и высшего образования) и 101 – в учреждениях культуры, спорта, молодежных центрах, организациях для детей</w:t>
      </w:r>
      <w:r w:rsidR="0054028D">
        <w:rPr>
          <w:sz w:val="28"/>
          <w:szCs w:val="28"/>
        </w:rPr>
        <w:t>-</w:t>
      </w:r>
      <w:r>
        <w:rPr>
          <w:sz w:val="28"/>
          <w:szCs w:val="28"/>
        </w:rPr>
        <w:t xml:space="preserve">сирот, </w:t>
      </w:r>
      <w:r>
        <w:rPr>
          <w:sz w:val="28"/>
          <w:szCs w:val="28"/>
        </w:rPr>
        <w:br/>
        <w:t xml:space="preserve">на предприятиях, с общим охватом вовлеченности детей и молодежи </w:t>
      </w:r>
      <w:r>
        <w:rPr>
          <w:sz w:val="28"/>
          <w:szCs w:val="28"/>
        </w:rPr>
        <w:br/>
        <w:t>более 180 000 человек.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во всех муниципальных образованиях автономного округа </w:t>
      </w:r>
      <w:r>
        <w:rPr>
          <w:sz w:val="28"/>
          <w:szCs w:val="28"/>
        </w:rPr>
        <w:br/>
        <w:t xml:space="preserve">созданы местные отделения Всероссийского детско-юношеского </w:t>
      </w:r>
      <w:r>
        <w:rPr>
          <w:sz w:val="28"/>
          <w:szCs w:val="28"/>
        </w:rPr>
        <w:br/>
        <w:t xml:space="preserve">военно-патриотического общественного движения «ЮНАРМИЯ» </w:t>
      </w:r>
      <w:r>
        <w:rPr>
          <w:sz w:val="28"/>
          <w:szCs w:val="28"/>
        </w:rPr>
        <w:br/>
        <w:t xml:space="preserve">(далее – движение «ЮНАРМИЯ»). По состоянию на 1 марта 2026 года </w:t>
      </w:r>
      <w:r>
        <w:rPr>
          <w:sz w:val="28"/>
          <w:szCs w:val="28"/>
        </w:rPr>
        <w:br/>
        <w:t xml:space="preserve">в структуру регионального отделения движения «ЮНАРМИЯ» входит </w:t>
      </w:r>
      <w:r>
        <w:rPr>
          <w:sz w:val="28"/>
          <w:szCs w:val="28"/>
        </w:rPr>
        <w:br/>
        <w:t>22 местных отделения и 340 юнармейских отрядов, общей численностью 18 263 юнармейцев в возрасте от 8 до 18 лет.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рабочих программ воспитания, единого плана воспитательной работы организован показ «золотой коллекции» кинофильмов и мультфильмов, направленных на патриотическое воспитание детей и молодежи.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Охват составил 205 000 обучающихся и воспитанников дошкольных образовательных организаций.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Ежегодно</w:t>
      </w:r>
      <w:r>
        <w:rPr>
          <w:color w:val="000000" w:themeColor="text1"/>
          <w:sz w:val="28"/>
          <w:szCs w:val="28"/>
          <w:highlight w:val="white"/>
        </w:rPr>
        <w:t xml:space="preserve"> в эфире телеканала «Югра» </w:t>
      </w:r>
      <w:r>
        <w:rPr>
          <w:color w:val="000000" w:themeColor="text1"/>
          <w:sz w:val="28"/>
          <w:szCs w:val="28"/>
        </w:rPr>
        <w:t>обеспечивается т</w:t>
      </w:r>
      <w:r>
        <w:rPr>
          <w:color w:val="000000" w:themeColor="text1"/>
          <w:sz w:val="28"/>
          <w:szCs w:val="28"/>
          <w:highlight w:val="white"/>
        </w:rPr>
        <w:t xml:space="preserve">рансляция фильмов </w:t>
      </w:r>
      <w:r>
        <w:rPr>
          <w:color w:val="000000"/>
          <w:sz w:val="28"/>
          <w:szCs w:val="28"/>
        </w:rPr>
        <w:t xml:space="preserve">духовно-нравственной тематики </w:t>
      </w:r>
      <w:r>
        <w:rPr>
          <w:color w:val="000000" w:themeColor="text1"/>
          <w:sz w:val="28"/>
          <w:szCs w:val="28"/>
          <w:highlight w:val="white"/>
        </w:rPr>
        <w:t xml:space="preserve">(не менее 156 часов в год) </w:t>
      </w:r>
      <w:r>
        <w:rPr>
          <w:color w:val="000000" w:themeColor="text1"/>
          <w:sz w:val="28"/>
          <w:szCs w:val="28"/>
          <w:highlight w:val="white"/>
        </w:rPr>
        <w:br/>
        <w:t xml:space="preserve">в образовательных организациях дошкольного образования </w:t>
      </w:r>
      <w:r>
        <w:rPr>
          <w:color w:val="000000" w:themeColor="text1"/>
          <w:sz w:val="28"/>
          <w:szCs w:val="28"/>
          <w:highlight w:val="white"/>
        </w:rPr>
        <w:br/>
        <w:t>и общеобразовательных организациях, в том числе в организациях дополнительного образования.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отмечу, что в образовательных организациях автономного округа создана необходимая учебно-материальная база для осуществления работы по военно-патриотическому воспитанию детей: оборудованы кабинеты «Основы безопасности и защиты Родины», оформлены уголки призывника и уголки боевой Славы, тиры для стрельб, школьные музеи </w:t>
      </w:r>
      <w:r>
        <w:rPr>
          <w:sz w:val="28"/>
          <w:szCs w:val="28"/>
        </w:rPr>
        <w:br/>
        <w:t>с экспозициями, посвященными Великой Отечественной войне, истории казачества, а также специальной военной операции.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содействия духовно-нравственно</w:t>
      </w:r>
      <w:r w:rsidR="0054028D">
        <w:rPr>
          <w:sz w:val="28"/>
          <w:szCs w:val="28"/>
        </w:rPr>
        <w:t>му развитию</w:t>
      </w:r>
      <w:r>
        <w:rPr>
          <w:sz w:val="28"/>
          <w:szCs w:val="28"/>
        </w:rPr>
        <w:t xml:space="preserve"> и воспитани</w:t>
      </w:r>
      <w:r w:rsidR="0054028D">
        <w:rPr>
          <w:sz w:val="28"/>
          <w:szCs w:val="28"/>
        </w:rPr>
        <w:t>ю</w:t>
      </w:r>
      <w:r>
        <w:rPr>
          <w:sz w:val="28"/>
          <w:szCs w:val="28"/>
        </w:rPr>
        <w:t xml:space="preserve"> подростков к проведению мероприятий привлекаются представители Русской Православ</w:t>
      </w:r>
      <w:r w:rsidR="0054028D">
        <w:rPr>
          <w:sz w:val="28"/>
          <w:szCs w:val="28"/>
        </w:rPr>
        <w:t>ной Церкви, члены общественных с</w:t>
      </w:r>
      <w:r>
        <w:rPr>
          <w:sz w:val="28"/>
          <w:szCs w:val="28"/>
        </w:rPr>
        <w:t>оветов, представители общественных организаций и национальные общественные объединения.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Стратегии государственной политики Российской Федерации в от</w:t>
      </w:r>
      <w:r w:rsidR="006369C3">
        <w:rPr>
          <w:sz w:val="28"/>
          <w:szCs w:val="28"/>
        </w:rPr>
        <w:t xml:space="preserve">ношении российского казачества </w:t>
      </w:r>
      <w:r>
        <w:rPr>
          <w:sz w:val="28"/>
          <w:szCs w:val="28"/>
        </w:rPr>
        <w:t>на 2021 – 2030 годы</w:t>
      </w:r>
      <w:r>
        <w:rPr>
          <w:rStyle w:val="aff2"/>
          <w:sz w:val="28"/>
          <w:szCs w:val="28"/>
        </w:rPr>
        <w:footnoteReference w:id="1"/>
      </w:r>
      <w:r>
        <w:rPr>
          <w:rStyle w:val="aff2"/>
          <w:sz w:val="28"/>
          <w:szCs w:val="28"/>
        </w:rPr>
        <w:t>,</w:t>
      </w:r>
      <w:r>
        <w:rPr>
          <w:rStyle w:val="aff2"/>
          <w:sz w:val="28"/>
          <w:szCs w:val="28"/>
          <w:vertAlign w:val="baseline"/>
        </w:rPr>
        <w:t>, на территории автономного округа на постоянной основе проводятся мероприят</w:t>
      </w:r>
      <w:r w:rsidR="006369C3">
        <w:rPr>
          <w:rStyle w:val="aff2"/>
          <w:sz w:val="28"/>
          <w:szCs w:val="28"/>
          <w:vertAlign w:val="baseline"/>
        </w:rPr>
        <w:t xml:space="preserve">ия, направленные на содействие </w:t>
      </w:r>
      <w:r>
        <w:rPr>
          <w:rStyle w:val="aff2"/>
          <w:sz w:val="28"/>
          <w:szCs w:val="28"/>
          <w:vertAlign w:val="baseline"/>
        </w:rPr>
        <w:t>воспитанию подрастающего поколения в духе патрио</w:t>
      </w:r>
      <w:r w:rsidR="006369C3">
        <w:rPr>
          <w:rStyle w:val="aff2"/>
          <w:sz w:val="28"/>
          <w:szCs w:val="28"/>
          <w:vertAlign w:val="baseline"/>
        </w:rPr>
        <w:t xml:space="preserve">тизма, укрепления </w:t>
      </w:r>
      <w:r>
        <w:rPr>
          <w:rStyle w:val="aff2"/>
          <w:sz w:val="28"/>
          <w:szCs w:val="28"/>
          <w:vertAlign w:val="baseline"/>
        </w:rPr>
        <w:t>культурно-исторических традиций и ценностей российского казачества.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автономном округе насчитывается 182 класса, </w:t>
      </w:r>
      <w:r w:rsidR="0054028D">
        <w:rPr>
          <w:sz w:val="28"/>
          <w:szCs w:val="28"/>
        </w:rPr>
        <w:t xml:space="preserve">в которых </w:t>
      </w:r>
      <w:r>
        <w:rPr>
          <w:sz w:val="28"/>
          <w:szCs w:val="28"/>
        </w:rPr>
        <w:t>реализу</w:t>
      </w:r>
      <w:r w:rsidR="0054028D">
        <w:rPr>
          <w:sz w:val="28"/>
          <w:szCs w:val="28"/>
        </w:rPr>
        <w:t>ется</w:t>
      </w:r>
      <w:r>
        <w:rPr>
          <w:sz w:val="28"/>
          <w:szCs w:val="28"/>
        </w:rPr>
        <w:t xml:space="preserve"> кадетское образование, из них 75 классов, </w:t>
      </w:r>
      <w:r w:rsidR="0054028D">
        <w:rPr>
          <w:sz w:val="28"/>
          <w:szCs w:val="28"/>
        </w:rPr>
        <w:t xml:space="preserve">в которых реализуется </w:t>
      </w:r>
      <w:r>
        <w:rPr>
          <w:sz w:val="28"/>
          <w:szCs w:val="28"/>
        </w:rPr>
        <w:t>казачий компонент. Численность обучающихся составляет</w:t>
      </w:r>
      <w:r w:rsidR="0054028D">
        <w:rPr>
          <w:sz w:val="28"/>
          <w:szCs w:val="28"/>
        </w:rPr>
        <w:br/>
      </w:r>
      <w:r>
        <w:rPr>
          <w:sz w:val="28"/>
          <w:szCs w:val="28"/>
        </w:rPr>
        <w:t xml:space="preserve"> 5 573 человек</w:t>
      </w:r>
      <w:r w:rsidR="0054028D">
        <w:rPr>
          <w:sz w:val="28"/>
          <w:szCs w:val="28"/>
        </w:rPr>
        <w:t>а</w:t>
      </w:r>
      <w:r>
        <w:rPr>
          <w:sz w:val="28"/>
          <w:szCs w:val="28"/>
        </w:rPr>
        <w:t>, из них 3 891, получающи</w:t>
      </w:r>
      <w:r w:rsidR="0054028D">
        <w:rPr>
          <w:sz w:val="28"/>
          <w:szCs w:val="28"/>
        </w:rPr>
        <w:t>й</w:t>
      </w:r>
      <w:r>
        <w:rPr>
          <w:sz w:val="28"/>
          <w:szCs w:val="28"/>
        </w:rPr>
        <w:t xml:space="preserve"> кадетское образование и 1 682 </w:t>
      </w:r>
      <w:r>
        <w:rPr>
          <w:sz w:val="28"/>
          <w:szCs w:val="28"/>
        </w:rPr>
        <w:br/>
        <w:t>человек</w:t>
      </w:r>
      <w:r w:rsidR="0054028D">
        <w:rPr>
          <w:sz w:val="28"/>
          <w:szCs w:val="28"/>
        </w:rPr>
        <w:t>а</w:t>
      </w:r>
      <w:r>
        <w:rPr>
          <w:sz w:val="28"/>
          <w:szCs w:val="28"/>
        </w:rPr>
        <w:t xml:space="preserve"> – образование с реализацией казачьего компонента.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образовательных организациях проводятся мероприятия патриотической направленности, ставшие уже традиционными: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месячник оборонно-массовой и спортивной работы;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>
        <w:rPr>
          <w:color w:val="000000" w:themeColor="text1"/>
          <w:sz w:val="28"/>
          <w:szCs w:val="28"/>
        </w:rPr>
        <w:t xml:space="preserve">в рамках </w:t>
      </w:r>
      <w:r>
        <w:rPr>
          <w:bCs/>
          <w:color w:val="000000" w:themeColor="text1"/>
          <w:sz w:val="28"/>
          <w:szCs w:val="28"/>
        </w:rPr>
        <w:t>дней воинской славы и памятных дат Российской Федерации;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смотры строя и песни среди обучающихся общеобразовательных организаций.</w:t>
      </w:r>
    </w:p>
    <w:p w:rsidR="00F67A39" w:rsidRDefault="002E6724" w:rsidP="00780658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3" w:color="FFFFFF"/>
        </w:pBdr>
        <w:shd w:val="clear" w:color="FFFFFF" w:fill="FFFFFF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рамках учебного предмета «Разговоры о важном» проводятся внеурочные занятия, направленные на укрепление и сохранение традиционных российских духовно-нравственных ценностей </w:t>
      </w:r>
      <w:r>
        <w:rPr>
          <w:color w:val="000000" w:themeColor="text1"/>
          <w:sz w:val="28"/>
          <w:szCs w:val="28"/>
        </w:rPr>
        <w:br/>
        <w:t xml:space="preserve">и патриотического воспитания среди обучающихся, в том числе организации встреч с участниками </w:t>
      </w:r>
      <w:r>
        <w:rPr>
          <w:sz w:val="28"/>
          <w:szCs w:val="28"/>
        </w:rPr>
        <w:t>специальной военной операции.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Количество проведенных встреч составило более 3 500 с привлечением </w:t>
      </w:r>
      <w:r>
        <w:rPr>
          <w:sz w:val="28"/>
          <w:szCs w:val="28"/>
          <w:highlight w:val="white"/>
        </w:rPr>
        <w:br/>
        <w:t xml:space="preserve">1 700 участников боевых действий, </w:t>
      </w:r>
      <w:r>
        <w:rPr>
          <w:color w:val="000000" w:themeColor="text1"/>
          <w:sz w:val="28"/>
          <w:szCs w:val="28"/>
        </w:rPr>
        <w:t>с общим охватом детей и молодежи</w:t>
      </w:r>
      <w:r w:rsidR="00B57DA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более</w:t>
      </w:r>
      <w:r>
        <w:rPr>
          <w:sz w:val="28"/>
          <w:szCs w:val="28"/>
          <w:highlight w:val="white"/>
        </w:rPr>
        <w:t xml:space="preserve"> 200 00 человек.</w:t>
      </w:r>
    </w:p>
    <w:sectPr w:rsidR="00F67A39" w:rsidSect="00102BE1">
      <w:headerReference w:type="default" r:id="rId8"/>
      <w:pgSz w:w="11906" w:h="16838"/>
      <w:pgMar w:top="709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F72" w:rsidRDefault="00530F72">
      <w:r>
        <w:separator/>
      </w:r>
    </w:p>
  </w:endnote>
  <w:endnote w:type="continuationSeparator" w:id="0">
    <w:p w:rsidR="00530F72" w:rsidRDefault="005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F72" w:rsidRDefault="00530F72">
      <w:r>
        <w:separator/>
      </w:r>
    </w:p>
  </w:footnote>
  <w:footnote w:type="continuationSeparator" w:id="0">
    <w:p w:rsidR="00530F72" w:rsidRDefault="00530F72">
      <w:r>
        <w:continuationSeparator/>
      </w:r>
    </w:p>
  </w:footnote>
  <w:footnote w:id="1">
    <w:p w:rsidR="00F67A39" w:rsidRDefault="002E67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18"/>
          <w:szCs w:val="18"/>
        </w:rPr>
      </w:pPr>
      <w:r>
        <w:rPr>
          <w:rStyle w:val="aff2"/>
        </w:rPr>
        <w:footnoteRef/>
      </w:r>
      <w:r>
        <w:t xml:space="preserve"> </w:t>
      </w:r>
      <w:r>
        <w:rPr>
          <w:sz w:val="18"/>
          <w:szCs w:val="18"/>
        </w:rPr>
        <w:t>Указ Президента Российской Федерации от 9 августа 2020 года № 505 «Об утверждении Стратегии государственной политики Российской Федерации в отношении российского казачества на 2021 - 2030 годы»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A39" w:rsidRDefault="002E6724">
    <w:pPr>
      <w:pStyle w:val="aff5"/>
      <w:jc w:val="center"/>
    </w:pPr>
    <w:r>
      <w:fldChar w:fldCharType="begin"/>
    </w:r>
    <w:r>
      <w:instrText>PAGE \* MERGEFORMAT</w:instrText>
    </w:r>
    <w:r>
      <w:fldChar w:fldCharType="separate"/>
    </w:r>
    <w:r w:rsidR="00FA68FE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535F2"/>
    <w:multiLevelType w:val="hybridMultilevel"/>
    <w:tmpl w:val="79BA306C"/>
    <w:lvl w:ilvl="0" w:tplc="169002CE">
      <w:start w:val="1"/>
      <w:numFmt w:val="decimal"/>
      <w:lvlText w:val="%1."/>
      <w:lvlJc w:val="left"/>
      <w:pPr>
        <w:ind w:left="720" w:hanging="360"/>
      </w:pPr>
    </w:lvl>
    <w:lvl w:ilvl="1" w:tplc="05BEB336">
      <w:start w:val="1"/>
      <w:numFmt w:val="lowerLetter"/>
      <w:lvlText w:val="%2."/>
      <w:lvlJc w:val="left"/>
      <w:pPr>
        <w:ind w:left="1440" w:hanging="360"/>
      </w:pPr>
    </w:lvl>
    <w:lvl w:ilvl="2" w:tplc="A998DC4C">
      <w:start w:val="1"/>
      <w:numFmt w:val="lowerRoman"/>
      <w:lvlText w:val="%3."/>
      <w:lvlJc w:val="right"/>
      <w:pPr>
        <w:ind w:left="2160" w:hanging="180"/>
      </w:pPr>
    </w:lvl>
    <w:lvl w:ilvl="3" w:tplc="DC485B88">
      <w:start w:val="1"/>
      <w:numFmt w:val="decimal"/>
      <w:lvlText w:val="%4."/>
      <w:lvlJc w:val="left"/>
      <w:pPr>
        <w:ind w:left="2880" w:hanging="360"/>
      </w:pPr>
    </w:lvl>
    <w:lvl w:ilvl="4" w:tplc="DE8C4A20">
      <w:start w:val="1"/>
      <w:numFmt w:val="lowerLetter"/>
      <w:lvlText w:val="%5."/>
      <w:lvlJc w:val="left"/>
      <w:pPr>
        <w:ind w:left="3600" w:hanging="360"/>
      </w:pPr>
    </w:lvl>
    <w:lvl w:ilvl="5" w:tplc="06D8ECDE">
      <w:start w:val="1"/>
      <w:numFmt w:val="lowerRoman"/>
      <w:lvlText w:val="%6."/>
      <w:lvlJc w:val="right"/>
      <w:pPr>
        <w:ind w:left="4320" w:hanging="180"/>
      </w:pPr>
    </w:lvl>
    <w:lvl w:ilvl="6" w:tplc="C1C89DF6">
      <w:start w:val="1"/>
      <w:numFmt w:val="decimal"/>
      <w:lvlText w:val="%7."/>
      <w:lvlJc w:val="left"/>
      <w:pPr>
        <w:ind w:left="5040" w:hanging="360"/>
      </w:pPr>
    </w:lvl>
    <w:lvl w:ilvl="7" w:tplc="789EE460">
      <w:start w:val="1"/>
      <w:numFmt w:val="lowerLetter"/>
      <w:lvlText w:val="%8."/>
      <w:lvlJc w:val="left"/>
      <w:pPr>
        <w:ind w:left="5760" w:hanging="360"/>
      </w:pPr>
    </w:lvl>
    <w:lvl w:ilvl="8" w:tplc="E11A5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26F71"/>
    <w:multiLevelType w:val="hybridMultilevel"/>
    <w:tmpl w:val="08EEF668"/>
    <w:lvl w:ilvl="0" w:tplc="A4C21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7CD6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1407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2EB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5A05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7820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B6A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2A0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262F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A3129B"/>
    <w:multiLevelType w:val="hybridMultilevel"/>
    <w:tmpl w:val="EEE0C3F2"/>
    <w:lvl w:ilvl="0" w:tplc="8E98F4D6">
      <w:start w:val="1"/>
      <w:numFmt w:val="bullet"/>
      <w:lvlText w:val="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42144FEC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9ACCF3DC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8445CB2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A28C7702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F6187FD0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D192818E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883AB3B6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BEA09B50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00B3526"/>
    <w:multiLevelType w:val="hybridMultilevel"/>
    <w:tmpl w:val="8262611C"/>
    <w:lvl w:ilvl="0" w:tplc="FA809964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27E853E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11082E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132C1B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BC8B8A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A7A24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1BEF6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1B66E0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D945F0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E2B19FB"/>
    <w:multiLevelType w:val="hybridMultilevel"/>
    <w:tmpl w:val="B0588FD6"/>
    <w:lvl w:ilvl="0" w:tplc="932C9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8828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B4B4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BFE75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156FB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3476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67E48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B66C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B679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785A28"/>
    <w:multiLevelType w:val="hybridMultilevel"/>
    <w:tmpl w:val="0394994E"/>
    <w:lvl w:ilvl="0" w:tplc="B8201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C10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126B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AE5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076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C27E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440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400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8E20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6F27ED"/>
    <w:multiLevelType w:val="hybridMultilevel"/>
    <w:tmpl w:val="BF849F82"/>
    <w:lvl w:ilvl="0" w:tplc="E788F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4CF1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DAF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0C1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C8B7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4ABD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3475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EA61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2E1E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C08CA"/>
    <w:multiLevelType w:val="hybridMultilevel"/>
    <w:tmpl w:val="DDC20B40"/>
    <w:lvl w:ilvl="0" w:tplc="D6503364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DE2CCC4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AD6062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7DEC57C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B5AACD1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E7A8C46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1BAF270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1661F1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656653C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61F5EA7"/>
    <w:multiLevelType w:val="hybridMultilevel"/>
    <w:tmpl w:val="DD9C3502"/>
    <w:lvl w:ilvl="0" w:tplc="E176E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7204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425F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76F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94F9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2AE6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4E7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0F5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F4DF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39"/>
    <w:rsid w:val="0009364B"/>
    <w:rsid w:val="00102BE1"/>
    <w:rsid w:val="002E6724"/>
    <w:rsid w:val="00404BC2"/>
    <w:rsid w:val="00450FC4"/>
    <w:rsid w:val="00530F72"/>
    <w:rsid w:val="0054028D"/>
    <w:rsid w:val="006369C3"/>
    <w:rsid w:val="00767579"/>
    <w:rsid w:val="00780658"/>
    <w:rsid w:val="009B6B73"/>
    <w:rsid w:val="00A974B9"/>
    <w:rsid w:val="00B57DA7"/>
    <w:rsid w:val="00D36D50"/>
    <w:rsid w:val="00F67A39"/>
    <w:rsid w:val="00FA68FE"/>
    <w:rsid w:val="00FB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331FA-C74A-45F7-8811-79358AFB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paragraph" w:styleId="ae">
    <w:name w:val="Balloon Text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E-mail Signature"/>
    <w:basedOn w:val="a"/>
    <w:link w:val="af1"/>
    <w:uiPriority w:val="99"/>
    <w:semiHidden/>
    <w:unhideWhenUsed/>
    <w:rPr>
      <w:rFonts w:ascii="Calibri" w:hAnsi="Calibri"/>
      <w:sz w:val="22"/>
      <w:szCs w:val="22"/>
    </w:rPr>
  </w:style>
  <w:style w:type="character" w:customStyle="1" w:styleId="af1">
    <w:name w:val="Электронная подпись Знак"/>
    <w:link w:val="af0"/>
    <w:uiPriority w:val="99"/>
    <w:semiHidden/>
    <w:rPr>
      <w:rFonts w:ascii="Calibri" w:eastAsia="Times New Roman" w:hAnsi="Calibri" w:cs="Times New Roman"/>
      <w:lang w:eastAsia="ru-RU"/>
    </w:rPr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Pr>
      <w:color w:val="0000FF"/>
      <w:u w:val="single"/>
    </w:rPr>
  </w:style>
  <w:style w:type="paragraph" w:styleId="af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6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Body Text"/>
    <w:basedOn w:val="a"/>
    <w:link w:val="af9"/>
    <w:pPr>
      <w:spacing w:line="360" w:lineRule="auto"/>
      <w:jc w:val="both"/>
    </w:pPr>
    <w:rPr>
      <w:sz w:val="28"/>
    </w:rPr>
  </w:style>
  <w:style w:type="character" w:customStyle="1" w:styleId="af9">
    <w:name w:val="Основной текст Знак"/>
    <w:link w:val="af8"/>
    <w:rPr>
      <w:rFonts w:ascii="Times New Roman" w:eastAsia="Times New Roman" w:hAnsi="Times New Roman"/>
      <w:sz w:val="28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rFonts w:ascii="Times New Roman" w:eastAsia="Times New Roman" w:hAnsi="Times New Roman"/>
    </w:rPr>
  </w:style>
  <w:style w:type="character" w:styleId="afc">
    <w:name w:val="page number"/>
    <w:basedOn w:val="a0"/>
  </w:style>
  <w:style w:type="paragraph" w:styleId="afd">
    <w:name w:val="Plain Text"/>
    <w:basedOn w:val="a"/>
    <w:link w:val="afe"/>
    <w:semiHidden/>
    <w:pPr>
      <w:ind w:firstLine="397"/>
      <w:jc w:val="both"/>
    </w:pPr>
    <w:rPr>
      <w:rFonts w:eastAsia="Calibri"/>
      <w:sz w:val="24"/>
    </w:rPr>
  </w:style>
  <w:style w:type="character" w:customStyle="1" w:styleId="afe">
    <w:name w:val="Текст Знак"/>
    <w:link w:val="afd"/>
    <w:semiHidden/>
    <w:rPr>
      <w:rFonts w:eastAsia="Calibri"/>
      <w:sz w:val="24"/>
      <w:lang w:val="ru-RU" w:eastAsia="ru-RU" w:bidi="ar-S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0">
    <w:name w:val="footnote text"/>
    <w:basedOn w:val="a"/>
    <w:link w:val="aff1"/>
    <w:uiPriority w:val="99"/>
    <w:semiHidden/>
    <w:unhideWhenUsed/>
  </w:style>
  <w:style w:type="character" w:customStyle="1" w:styleId="aff1">
    <w:name w:val="Текст сноски Знак"/>
    <w:link w:val="aff0"/>
    <w:uiPriority w:val="99"/>
    <w:semiHidden/>
    <w:rPr>
      <w:rFonts w:ascii="Times New Roman" w:eastAsia="Times New Roman" w:hAnsi="Times New Roman"/>
    </w:rPr>
  </w:style>
  <w:style w:type="character" w:styleId="aff2">
    <w:name w:val="footnote reference"/>
    <w:uiPriority w:val="99"/>
    <w:semiHidden/>
    <w:unhideWhenUsed/>
    <w:rPr>
      <w:vertAlign w:val="superscript"/>
    </w:rPr>
  </w:style>
  <w:style w:type="character" w:customStyle="1" w:styleId="aff3">
    <w:name w:val="Текст концевой сноски Знак"/>
    <w:link w:val="aff4"/>
    <w:uiPriority w:val="99"/>
    <w:semiHidden/>
    <w:rPr>
      <w:rFonts w:ascii="Times New Roman" w:eastAsia="Times New Roman" w:hAnsi="Times New Roman"/>
    </w:rPr>
  </w:style>
  <w:style w:type="paragraph" w:styleId="aff4">
    <w:name w:val="endnote text"/>
    <w:basedOn w:val="a"/>
    <w:link w:val="aff3"/>
    <w:uiPriority w:val="99"/>
    <w:semiHidden/>
    <w:unhideWhenUsed/>
  </w:style>
  <w:style w:type="paragraph" w:styleId="aff5">
    <w:name w:val="header"/>
    <w:basedOn w:val="a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link w:val="aff5"/>
    <w:uiPriority w:val="99"/>
    <w:rPr>
      <w:rFonts w:ascii="Times New Roman" w:eastAsia="Times New Roman" w:hAnsi="Times New Roman"/>
    </w:rPr>
  </w:style>
  <w:style w:type="paragraph" w:styleId="aff7">
    <w:name w:val="No Spacing"/>
    <w:uiPriority w:val="1"/>
    <w:qFormat/>
    <w:rPr>
      <w:rFonts w:eastAsia="Times New Roman"/>
      <w:sz w:val="22"/>
      <w:szCs w:val="22"/>
    </w:rPr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character" w:customStyle="1" w:styleId="14">
    <w:name w:val="Строгий1"/>
    <w:uiPriority w:val="22"/>
    <w:qFormat/>
    <w:rPr>
      <w:b/>
      <w:bCs/>
    </w:rPr>
  </w:style>
  <w:style w:type="paragraph" w:customStyle="1" w:styleId="futurismarkdown-listitem">
    <w:name w:val="futurismarkdown-listitem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15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4C99-6C34-4912-8412-2CDE60AA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Склярова Марина Сергеевна</cp:lastModifiedBy>
  <cp:revision>5</cp:revision>
  <cp:lastPrinted>2026-03-17T04:53:00Z</cp:lastPrinted>
  <dcterms:created xsi:type="dcterms:W3CDTF">2026-03-16T12:01:00Z</dcterms:created>
  <dcterms:modified xsi:type="dcterms:W3CDTF">2026-03-17T04:53:00Z</dcterms:modified>
</cp:coreProperties>
</file>